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240" w:lineRule="auto"/>
        <w:jc w:val="both"/>
        <w:rPr>
          <w:rFonts w:hint="eastAsia" w:ascii="方正黑体_GBK" w:hAnsi="方正黑体_GBK" w:eastAsia="方正黑体_GBK" w:cs="方正黑体_GBK"/>
          <w:b w:val="0"/>
          <w:bCs/>
          <w:color w:val="000000" w:themeColor="text1"/>
          <w:sz w:val="32"/>
          <w:szCs w:val="32"/>
          <w:highlight w:val="none"/>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highlight w:val="none"/>
          <w:lang w:eastAsia="zh-CN"/>
          <w14:textFill>
            <w14:solidFill>
              <w14:schemeClr w14:val="tx1"/>
            </w14:solidFill>
          </w14:textFill>
        </w:rPr>
        <w:t>附件</w:t>
      </w:r>
      <w:r>
        <w:rPr>
          <w:rFonts w:hint="eastAsia" w:ascii="方正黑体_GBK" w:hAnsi="方正黑体_GBK" w:eastAsia="方正黑体_GBK" w:cs="方正黑体_GBK"/>
          <w:b w:val="0"/>
          <w:bCs/>
          <w:color w:val="000000" w:themeColor="text1"/>
          <w:sz w:val="32"/>
          <w:szCs w:val="32"/>
          <w:highlight w:val="none"/>
          <w:lang w:val="en-US" w:eastAsia="zh-CN"/>
          <w14:textFill>
            <w14:solidFill>
              <w14:schemeClr w14:val="tx1"/>
            </w14:solidFill>
          </w14:textFill>
        </w:rPr>
        <w:t>2</w:t>
      </w:r>
    </w:p>
    <w:p>
      <w:pPr>
        <w:spacing w:afterLines="0" w:line="240" w:lineRule="auto"/>
        <w:jc w:val="both"/>
        <w:rPr>
          <w:rFonts w:hint="eastAsia" w:ascii="方正黑体_GBK" w:hAnsi="方正黑体_GBK" w:eastAsia="方正黑体_GBK" w:cs="方正黑体_GBK"/>
          <w:b w:val="0"/>
          <w:bCs/>
          <w:color w:val="000000" w:themeColor="text1"/>
          <w:sz w:val="32"/>
          <w:szCs w:val="32"/>
          <w:highlight w:val="none"/>
          <w:lang w:val="en-US" w:eastAsia="zh-CN"/>
          <w14:textFill>
            <w14:solidFill>
              <w14:schemeClr w14:val="tx1"/>
            </w14:solidFill>
          </w14:textFill>
        </w:rPr>
      </w:pPr>
    </w:p>
    <w:p>
      <w:pPr>
        <w:snapToGrid w:val="0"/>
        <w:spacing w:afterLines="0" w:line="240" w:lineRule="auto"/>
        <w:jc w:val="center"/>
        <w:rPr>
          <w:rFonts w:hint="eastAsia" w:ascii="方正小标宋简体" w:hAnsi="方正小标宋简体" w:eastAsia="方正小标宋简体" w:cs="方正小标宋简体"/>
          <w:b w:val="0"/>
          <w:bCs/>
          <w:color w:val="000000" w:themeColor="text1"/>
          <w:sz w:val="44"/>
          <w:szCs w:val="44"/>
          <w:highlight w:val="none"/>
          <w14:textFill>
            <w14:solidFill>
              <w14:schemeClr w14:val="tx1"/>
            </w14:solidFill>
          </w14:textFill>
        </w:rPr>
      </w:pPr>
      <w:bookmarkStart w:id="0" w:name="_GoBack"/>
      <w:r>
        <w:rPr>
          <w:rFonts w:hint="eastAsia" w:ascii="方正小标宋简体" w:hAnsi="方正小标宋简体" w:eastAsia="方正小标宋简体" w:cs="方正小标宋简体"/>
          <w:b w:val="0"/>
          <w:bCs/>
          <w:color w:val="000000" w:themeColor="text1"/>
          <w:sz w:val="44"/>
          <w:szCs w:val="44"/>
          <w:highlight w:val="none"/>
          <w:lang w:eastAsia="zh-CN"/>
          <w14:textFill>
            <w14:solidFill>
              <w14:schemeClr w14:val="tx1"/>
            </w14:solidFill>
          </w14:textFill>
        </w:rPr>
        <w:t>广东省</w:t>
      </w:r>
      <w:r>
        <w:rPr>
          <w:rFonts w:hint="eastAsia" w:ascii="方正小标宋简体" w:hAnsi="方正小标宋简体" w:eastAsia="方正小标宋简体" w:cs="方正小标宋简体"/>
          <w:b w:val="0"/>
          <w:bCs/>
          <w:color w:val="000000" w:themeColor="text1"/>
          <w:sz w:val="44"/>
          <w:szCs w:val="44"/>
          <w:highlight w:val="none"/>
          <w:lang w:val="en-US" w:eastAsia="zh-CN"/>
          <w14:textFill>
            <w14:solidFill>
              <w14:schemeClr w14:val="tx1"/>
            </w14:solidFill>
          </w14:textFill>
        </w:rPr>
        <w:t>2022年</w:t>
      </w:r>
      <w:r>
        <w:rPr>
          <w:rFonts w:hint="eastAsia" w:ascii="方正小标宋简体" w:hAnsi="方正小标宋简体" w:eastAsia="方正小标宋简体" w:cs="方正小标宋简体"/>
          <w:b w:val="0"/>
          <w:bCs/>
          <w:color w:val="000000" w:themeColor="text1"/>
          <w:sz w:val="44"/>
          <w:szCs w:val="44"/>
          <w:highlight w:val="none"/>
          <w14:textFill>
            <w14:solidFill>
              <w14:schemeClr w14:val="tx1"/>
            </w14:solidFill>
          </w14:textFill>
        </w:rPr>
        <w:t>国家通用手语技能大赛方案</w:t>
      </w:r>
    </w:p>
    <w:bookmarkEnd w:id="0"/>
    <w:p>
      <w:pPr>
        <w:pStyle w:val="2"/>
        <w:spacing w:after="0" w:afterLines="0"/>
        <w:rPr>
          <w:highlight w:val="none"/>
        </w:rPr>
      </w:pPr>
    </w:p>
    <w:p>
      <w:pPr>
        <w:spacing w:afterLines="0" w:line="600" w:lineRule="exact"/>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为贯彻落实《</w:t>
      </w:r>
      <w:r>
        <w:rPr>
          <w:rFonts w:hint="eastAsia" w:ascii="仿宋" w:hAnsi="仿宋" w:eastAsia="仿宋" w:cs="仿宋"/>
          <w:color w:val="000000" w:themeColor="text1"/>
          <w:sz w:val="32"/>
          <w:szCs w:val="32"/>
          <w:highlight w:val="none"/>
          <w:lang w:eastAsia="zh-CN"/>
          <w14:textFill>
            <w14:solidFill>
              <w14:schemeClr w14:val="tx1"/>
            </w14:solidFill>
          </w14:textFill>
        </w:rPr>
        <w:t>第二期</w:t>
      </w:r>
      <w:r>
        <w:rPr>
          <w:rFonts w:hint="eastAsia" w:ascii="仿宋" w:hAnsi="仿宋" w:eastAsia="仿宋" w:cs="仿宋"/>
          <w:color w:val="000000" w:themeColor="text1"/>
          <w:sz w:val="32"/>
          <w:szCs w:val="32"/>
          <w:highlight w:val="none"/>
          <w14:textFill>
            <w14:solidFill>
              <w14:schemeClr w14:val="tx1"/>
            </w14:solidFill>
          </w14:textFill>
        </w:rPr>
        <w:t>国家手语和</w:t>
      </w:r>
      <w:r>
        <w:rPr>
          <w:rFonts w:hint="eastAsia" w:ascii="仿宋" w:hAnsi="仿宋" w:eastAsia="仿宋" w:cs="仿宋"/>
          <w:color w:val="000000" w:themeColor="text1"/>
          <w:sz w:val="32"/>
          <w:szCs w:val="32"/>
          <w:highlight w:val="none"/>
          <w:lang w:eastAsia="zh-CN"/>
          <w14:textFill>
            <w14:solidFill>
              <w14:schemeClr w14:val="tx1"/>
            </w14:solidFill>
          </w14:textFill>
        </w:rPr>
        <w:t>国家</w:t>
      </w:r>
      <w:r>
        <w:rPr>
          <w:rFonts w:hint="eastAsia" w:ascii="仿宋" w:hAnsi="仿宋" w:eastAsia="仿宋" w:cs="仿宋"/>
          <w:color w:val="000000" w:themeColor="text1"/>
          <w:sz w:val="32"/>
          <w:szCs w:val="32"/>
          <w:highlight w:val="none"/>
          <w14:textFill>
            <w14:solidFill>
              <w14:schemeClr w14:val="tx1"/>
            </w14:solidFill>
          </w14:textFill>
        </w:rPr>
        <w:t>盲文规范化行动计划（20</w:t>
      </w:r>
      <w:r>
        <w:rPr>
          <w:rFonts w:hint="eastAsia" w:ascii="仿宋" w:hAnsi="仿宋" w:eastAsia="仿宋" w:cs="仿宋"/>
          <w:color w:val="000000" w:themeColor="text1"/>
          <w:sz w:val="32"/>
          <w:szCs w:val="32"/>
          <w:highlight w:val="none"/>
          <w:lang w:val="en-US" w:eastAsia="zh-CN"/>
          <w14:textFill>
            <w14:solidFill>
              <w14:schemeClr w14:val="tx1"/>
            </w14:solidFill>
          </w14:textFill>
        </w:rPr>
        <w:t>21</w:t>
      </w:r>
      <w:r>
        <w:rPr>
          <w:rFonts w:hint="eastAsia" w:ascii="仿宋" w:hAnsi="仿宋" w:eastAsia="仿宋" w:cs="仿宋"/>
          <w:color w:val="000000" w:themeColor="text1"/>
          <w:sz w:val="32"/>
          <w:szCs w:val="32"/>
          <w:highlight w:val="none"/>
          <w14:textFill>
            <w14:solidFill>
              <w14:schemeClr w14:val="tx1"/>
            </w14:solidFill>
          </w14:textFill>
        </w:rPr>
        <w:t>-202</w:t>
      </w:r>
      <w:r>
        <w:rPr>
          <w:rFonts w:hint="eastAsia" w:ascii="仿宋" w:hAnsi="仿宋" w:eastAsia="仿宋" w:cs="仿宋"/>
          <w:color w:val="000000" w:themeColor="text1"/>
          <w:sz w:val="32"/>
          <w:szCs w:val="32"/>
          <w:highlight w:val="none"/>
          <w:lang w:val="en-US" w:eastAsia="zh-CN"/>
          <w14:textFill>
            <w14:solidFill>
              <w14:schemeClr w14:val="tx1"/>
            </w14:solidFill>
          </w14:textFill>
        </w:rPr>
        <w:t>5</w:t>
      </w:r>
      <w:r>
        <w:rPr>
          <w:rFonts w:hint="eastAsia" w:ascii="仿宋" w:hAnsi="仿宋" w:eastAsia="仿宋" w:cs="仿宋"/>
          <w:color w:val="000000" w:themeColor="text1"/>
          <w:sz w:val="32"/>
          <w:szCs w:val="32"/>
          <w:highlight w:val="none"/>
          <w14:textFill>
            <w14:solidFill>
              <w14:schemeClr w14:val="tx1"/>
            </w14:solidFill>
          </w14:textFill>
        </w:rPr>
        <w:t>年）》精神，进一步推动全省国家通用手语推广工作，根据《关于</w:t>
      </w:r>
      <w:r>
        <w:rPr>
          <w:rFonts w:hint="eastAsia" w:ascii="仿宋" w:hAnsi="仿宋" w:eastAsia="仿宋" w:cs="仿宋"/>
          <w:color w:val="000000" w:themeColor="text1"/>
          <w:sz w:val="32"/>
          <w:szCs w:val="32"/>
          <w:highlight w:val="none"/>
          <w:lang w:eastAsia="zh-CN"/>
          <w14:textFill>
            <w14:solidFill>
              <w14:schemeClr w14:val="tx1"/>
            </w14:solidFill>
          </w14:textFill>
        </w:rPr>
        <w:t>做好“十四五”时期</w:t>
      </w:r>
      <w:r>
        <w:rPr>
          <w:rFonts w:hint="eastAsia" w:ascii="仿宋" w:hAnsi="仿宋" w:eastAsia="仿宋" w:cs="仿宋"/>
          <w:color w:val="000000" w:themeColor="text1"/>
          <w:sz w:val="32"/>
          <w:szCs w:val="32"/>
          <w:highlight w:val="none"/>
          <w14:textFill>
            <w14:solidFill>
              <w14:schemeClr w14:val="tx1"/>
            </w14:solidFill>
          </w14:textFill>
        </w:rPr>
        <w:t>国家通用手语和国家通用盲文推广工作的通知》（粤残联〔20</w:t>
      </w: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14:textFill>
            <w14:solidFill>
              <w14:schemeClr w14:val="tx1"/>
            </w14:solidFill>
          </w14:textFill>
        </w:rPr>
        <w:t>号）要求，省残联、省教育厅、省语言文字工作委员会联合举办</w:t>
      </w:r>
      <w:r>
        <w:rPr>
          <w:rFonts w:hint="eastAsia" w:ascii="仿宋" w:hAnsi="仿宋" w:eastAsia="仿宋" w:cs="仿宋"/>
          <w:color w:val="000000" w:themeColor="text1"/>
          <w:sz w:val="32"/>
          <w:szCs w:val="32"/>
          <w:highlight w:val="none"/>
          <w:lang w:eastAsia="zh-CN"/>
          <w14:textFill>
            <w14:solidFill>
              <w14:schemeClr w14:val="tx1"/>
            </w14:solidFill>
          </w14:textFill>
        </w:rPr>
        <w:t>广东省</w:t>
      </w:r>
      <w:r>
        <w:rPr>
          <w:rFonts w:hint="eastAsia" w:ascii="仿宋" w:hAnsi="仿宋" w:eastAsia="仿宋" w:cs="仿宋"/>
          <w:color w:val="000000" w:themeColor="text1"/>
          <w:sz w:val="32"/>
          <w:szCs w:val="32"/>
          <w:highlight w:val="none"/>
          <w:lang w:val="en-US" w:eastAsia="zh-CN"/>
          <w14:textFill>
            <w14:solidFill>
              <w14:schemeClr w14:val="tx1"/>
            </w14:solidFill>
          </w14:textFill>
        </w:rPr>
        <w:t>2022年</w:t>
      </w:r>
      <w:r>
        <w:rPr>
          <w:rFonts w:hint="eastAsia" w:ascii="仿宋" w:hAnsi="仿宋" w:eastAsia="仿宋" w:cs="仿宋"/>
          <w:color w:val="000000" w:themeColor="text1"/>
          <w:sz w:val="32"/>
          <w:szCs w:val="32"/>
          <w:highlight w:val="none"/>
          <w14:textFill>
            <w14:solidFill>
              <w14:schemeClr w14:val="tx1"/>
            </w14:solidFill>
          </w14:textFill>
        </w:rPr>
        <w:t>国家通用</w:t>
      </w:r>
      <w:r>
        <w:rPr>
          <w:rFonts w:hint="eastAsia" w:ascii="仿宋" w:hAnsi="仿宋" w:eastAsia="仿宋" w:cs="仿宋"/>
          <w:color w:val="000000" w:themeColor="text1"/>
          <w:sz w:val="32"/>
          <w:szCs w:val="32"/>
          <w:highlight w:val="none"/>
          <w:lang w:eastAsia="zh-CN"/>
          <w14:textFill>
            <w14:solidFill>
              <w14:schemeClr w14:val="tx1"/>
            </w14:solidFill>
          </w14:textFill>
        </w:rPr>
        <w:t>手语</w:t>
      </w:r>
      <w:r>
        <w:rPr>
          <w:rFonts w:hint="eastAsia" w:ascii="仿宋" w:hAnsi="仿宋" w:eastAsia="仿宋" w:cs="仿宋"/>
          <w:color w:val="000000" w:themeColor="text1"/>
          <w:sz w:val="32"/>
          <w:szCs w:val="32"/>
          <w:highlight w:val="none"/>
          <w14:textFill>
            <w14:solidFill>
              <w14:schemeClr w14:val="tx1"/>
            </w14:solidFill>
          </w14:textFill>
        </w:rPr>
        <w:t>技能大赛（以下简称“大赛”）。大赛工作方案如下：</w:t>
      </w:r>
    </w:p>
    <w:p>
      <w:pPr>
        <w:spacing w:afterLines="0" w:line="600" w:lineRule="exact"/>
        <w:ind w:firstLine="640" w:firstLineChars="200"/>
        <w:rPr>
          <w:rFonts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黑体" w:hAnsi="黑体" w:eastAsia="黑体" w:cs="黑体"/>
          <w:sz w:val="32"/>
          <w:szCs w:val="32"/>
          <w:highlight w:val="none"/>
        </w:rPr>
        <w:t>一、大赛主题</w:t>
      </w:r>
    </w:p>
    <w:p>
      <w:pPr>
        <w:spacing w:afterLines="0" w:line="600" w:lineRule="exact"/>
        <w:ind w:firstLine="56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寻找最美手语人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——广东省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国家通用手语技能大赛（第二届）。</w:t>
      </w:r>
    </w:p>
    <w:p>
      <w:pPr>
        <w:spacing w:afterLines="0" w:line="60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二、活动时间</w:t>
      </w:r>
    </w:p>
    <w:p>
      <w:pPr>
        <w:spacing w:afterLines="0" w:line="600" w:lineRule="exact"/>
        <w:ind w:firstLine="640" w:firstLineChars="200"/>
        <w:rPr>
          <w:rFonts w:hint="eastAsia" w:eastAsia="仿宋_GB2312"/>
          <w:sz w:val="32"/>
          <w:szCs w:val="32"/>
          <w:highlight w:val="none"/>
          <w:lang w:eastAsia="zh-CN"/>
        </w:rPr>
      </w:pPr>
      <w:r>
        <w:rPr>
          <w:rFonts w:hint="eastAsia" w:eastAsia="仿宋_GB2312"/>
          <w:sz w:val="32"/>
          <w:szCs w:val="32"/>
          <w:highlight w:val="none"/>
        </w:rPr>
        <w:t>2022年5月</w:t>
      </w:r>
      <w:r>
        <w:rPr>
          <w:rFonts w:hint="eastAsia" w:eastAsia="仿宋_GB2312"/>
          <w:sz w:val="32"/>
          <w:szCs w:val="32"/>
          <w:highlight w:val="none"/>
          <w:lang w:val="en-US" w:eastAsia="zh-CN"/>
        </w:rPr>
        <w:t>15日</w:t>
      </w:r>
      <w:r>
        <w:rPr>
          <w:rFonts w:hint="eastAsia" w:eastAsia="仿宋_GB2312"/>
          <w:sz w:val="32"/>
          <w:szCs w:val="32"/>
          <w:highlight w:val="none"/>
        </w:rPr>
        <w:t>至</w:t>
      </w:r>
      <w:r>
        <w:rPr>
          <w:rFonts w:hint="eastAsia" w:eastAsia="仿宋_GB2312"/>
          <w:sz w:val="32"/>
          <w:szCs w:val="32"/>
          <w:highlight w:val="none"/>
          <w:lang w:val="en-US" w:eastAsia="zh-CN"/>
        </w:rPr>
        <w:t>9</w:t>
      </w:r>
      <w:r>
        <w:rPr>
          <w:rFonts w:hint="eastAsia" w:eastAsia="仿宋_GB2312"/>
          <w:sz w:val="32"/>
          <w:szCs w:val="32"/>
          <w:highlight w:val="none"/>
        </w:rPr>
        <w:t>月</w:t>
      </w:r>
      <w:r>
        <w:rPr>
          <w:rFonts w:hint="eastAsia" w:eastAsia="仿宋_GB2312"/>
          <w:sz w:val="32"/>
          <w:szCs w:val="32"/>
          <w:highlight w:val="none"/>
          <w:lang w:eastAsia="zh-CN"/>
        </w:rPr>
        <w:t>。</w:t>
      </w:r>
    </w:p>
    <w:p>
      <w:pPr>
        <w:spacing w:afterLines="0" w:line="600" w:lineRule="exact"/>
        <w:ind w:firstLine="640" w:firstLineChars="200"/>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lang w:eastAsia="zh-CN"/>
          <w14:textFill>
            <w14:solidFill>
              <w14:schemeClr w14:val="tx1"/>
            </w14:solidFill>
          </w14:textFill>
        </w:rPr>
        <w:t>三</w:t>
      </w:r>
      <w:r>
        <w:rPr>
          <w:rFonts w:hint="eastAsia" w:ascii="黑体" w:hAnsi="黑体" w:eastAsia="黑体" w:cs="黑体"/>
          <w:bCs/>
          <w:color w:val="000000" w:themeColor="text1"/>
          <w:sz w:val="32"/>
          <w:szCs w:val="32"/>
          <w:highlight w:val="none"/>
          <w14:textFill>
            <w14:solidFill>
              <w14:schemeClr w14:val="tx1"/>
            </w14:solidFill>
          </w14:textFill>
        </w:rPr>
        <w:t>、组织机构</w:t>
      </w:r>
    </w:p>
    <w:p>
      <w:pPr>
        <w:spacing w:afterLines="0" w:line="600" w:lineRule="exact"/>
        <w:ind w:firstLine="640" w:firstLineChars="200"/>
        <w:rPr>
          <w:rFonts w:eastAsia="仿宋_GB2312"/>
          <w:sz w:val="32"/>
          <w:szCs w:val="32"/>
          <w:highlight w:val="none"/>
        </w:rPr>
      </w:pPr>
      <w:r>
        <w:rPr>
          <w:rFonts w:hint="eastAsia" w:ascii="楷体_GB2312" w:hAnsi="楷体_GB2312" w:eastAsia="楷体_GB2312" w:cs="楷体_GB2312"/>
          <w:sz w:val="32"/>
          <w:szCs w:val="32"/>
          <w:highlight w:val="none"/>
        </w:rPr>
        <w:t>（一）主办单位：</w:t>
      </w:r>
      <w:r>
        <w:rPr>
          <w:rFonts w:hint="eastAsia" w:eastAsia="仿宋_GB2312"/>
          <w:sz w:val="32"/>
          <w:szCs w:val="32"/>
          <w:highlight w:val="none"/>
        </w:rPr>
        <w:t>广东省残疾人联合会、广东省教育厅、广东省语言文字工作委员会。</w:t>
      </w:r>
    </w:p>
    <w:p>
      <w:pPr>
        <w:spacing w:afterLines="0" w:line="600" w:lineRule="exact"/>
        <w:ind w:firstLine="56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eastAsia="仿宋_GB2312"/>
          <w:sz w:val="32"/>
          <w:szCs w:val="32"/>
          <w:highlight w:val="none"/>
        </w:rPr>
        <w:t xml:space="preserve"> </w:t>
      </w:r>
      <w:r>
        <w:rPr>
          <w:rFonts w:hint="eastAsia" w:ascii="楷体_GB2312" w:hAnsi="楷体_GB2312" w:eastAsia="楷体_GB2312" w:cs="楷体_GB2312"/>
          <w:sz w:val="32"/>
          <w:szCs w:val="32"/>
          <w:highlight w:val="none"/>
        </w:rPr>
        <w:t>（二）承办单位</w:t>
      </w:r>
      <w:r>
        <w:rPr>
          <w:rFonts w:hint="eastAsia" w:ascii="仿宋_GB2312" w:hAnsi="仿宋_GB2312" w:eastAsia="仿宋_GB2312" w:cs="仿宋_GB2312"/>
          <w:color w:val="000000" w:themeColor="text1"/>
          <w:sz w:val="32"/>
          <w:szCs w:val="32"/>
          <w:highlight w:val="none"/>
          <w14:textFill>
            <w14:solidFill>
              <w14:schemeClr w14:val="tx1"/>
            </w14:solidFill>
          </w14:textFill>
        </w:rPr>
        <w:t>：广东省聋人协会、广东省手语协会、广州市手语研究会。</w:t>
      </w:r>
    </w:p>
    <w:p>
      <w:pPr>
        <w:spacing w:afterLines="0" w:line="600" w:lineRule="exact"/>
        <w:ind w:firstLine="56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sz w:val="32"/>
          <w:szCs w:val="32"/>
          <w:highlight w:val="none"/>
        </w:rPr>
        <w:t>（三）协办单位</w:t>
      </w:r>
      <w:r>
        <w:rPr>
          <w:rFonts w:hint="eastAsia" w:eastAsia="仿宋_GB2312"/>
          <w:sz w:val="32"/>
          <w:szCs w:val="32"/>
          <w:highlight w:val="none"/>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广东省立中山图书馆、广州音书科技有限公司、广州市关爱听障人士协会、深圳市声活科技文化有限公司等。</w:t>
      </w:r>
    </w:p>
    <w:p>
      <w:pPr>
        <w:pStyle w:val="2"/>
        <w:numPr>
          <w:ilvl w:val="0"/>
          <w:numId w:val="0"/>
        </w:numPr>
        <w:spacing w:after="0" w:afterLines="0" w:line="600" w:lineRule="exact"/>
        <w:ind w:firstLine="640"/>
        <w:jc w:val="left"/>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color w:val="000000"/>
          <w:sz w:val="32"/>
          <w:szCs w:val="32"/>
          <w:highlight w:val="none"/>
        </w:rPr>
        <w:t>四、执行机构</w:t>
      </w:r>
      <w:r>
        <w:rPr>
          <w:rFonts w:hint="eastAsia" w:ascii="黑体" w:hAnsi="黑体" w:eastAsia="黑体" w:cs="黑体"/>
          <w:color w:val="000000"/>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成立国家通用手语技能大赛工作执行委员会，负责落实大赛具体工作事宜。</w:t>
      </w:r>
    </w:p>
    <w:p>
      <w:pPr>
        <w:pStyle w:val="2"/>
        <w:spacing w:after="0" w:afterLines="0"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组  长</w:t>
      </w:r>
      <w:r>
        <w:rPr>
          <w:rFonts w:hint="eastAsia" w:ascii="仿宋_GB2312" w:hAnsi="仿宋_GB2312" w:eastAsia="仿宋_GB2312" w:cs="仿宋_GB2312"/>
          <w:sz w:val="32"/>
          <w:szCs w:val="32"/>
          <w:highlight w:val="none"/>
        </w:rPr>
        <w:t>：范宜涛</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sz w:val="32"/>
          <w:szCs w:val="32"/>
          <w:highlight w:val="none"/>
        </w:rPr>
        <w:t>兼）</w:t>
      </w:r>
    </w:p>
    <w:p>
      <w:pPr>
        <w:pStyle w:val="2"/>
        <w:spacing w:after="0" w:afterLines="0"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组</w:t>
      </w:r>
      <w:r>
        <w:rPr>
          <w:rFonts w:hint="eastAsia" w:ascii="仿宋_GB2312" w:hAnsi="仿宋_GB2312" w:eastAsia="仿宋_GB2312" w:cs="仿宋_GB2312"/>
          <w:sz w:val="32"/>
          <w:szCs w:val="32"/>
          <w:highlight w:val="none"/>
        </w:rPr>
        <w:t xml:space="preserve">  员：彭飞扬、张红玲、陈剑文、何敏颐 </w:t>
      </w:r>
    </w:p>
    <w:p>
      <w:pPr>
        <w:numPr>
          <w:ilvl w:val="-1"/>
          <w:numId w:val="0"/>
        </w:numPr>
        <w:spacing w:afterLines="0" w:line="600" w:lineRule="exact"/>
        <w:ind w:left="0" w:firstLine="640" w:firstLineChars="200"/>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lang w:eastAsia="zh-CN"/>
          <w14:textFill>
            <w14:solidFill>
              <w14:schemeClr w14:val="tx1"/>
            </w14:solidFill>
          </w14:textFill>
        </w:rPr>
        <w:t>五、</w:t>
      </w:r>
      <w:r>
        <w:rPr>
          <w:rFonts w:hint="eastAsia" w:ascii="黑体" w:hAnsi="黑体" w:eastAsia="黑体" w:cs="黑体"/>
          <w:bCs/>
          <w:color w:val="000000" w:themeColor="text1"/>
          <w:sz w:val="32"/>
          <w:szCs w:val="32"/>
          <w:highlight w:val="none"/>
          <w14:textFill>
            <w14:solidFill>
              <w14:schemeClr w14:val="tx1"/>
            </w14:solidFill>
          </w14:textFill>
        </w:rPr>
        <w:t>参赛对象</w:t>
      </w:r>
    </w:p>
    <w:p>
      <w:pPr>
        <w:spacing w:afterLines="0" w:line="600" w:lineRule="exact"/>
        <w:ind w:firstLine="640" w:firstLineChars="200"/>
        <w:rPr>
          <w:rFonts w:hint="default" w:ascii="黑体" w:hAnsi="黑体" w:eastAsia="仿宋_GB2312" w:cs="黑体"/>
          <w:bCs/>
          <w:color w:val="auto"/>
          <w:sz w:val="32"/>
          <w:szCs w:val="32"/>
          <w:highlight w:val="none"/>
        </w:rPr>
      </w:pPr>
      <w:r>
        <w:rPr>
          <w:rFonts w:hint="eastAsia" w:ascii="仿宋_GB2312" w:hAnsi="仿宋_GB2312" w:eastAsia="仿宋_GB2312" w:cs="仿宋_GB2312"/>
          <w:color w:val="auto"/>
          <w:sz w:val="32"/>
          <w:szCs w:val="32"/>
          <w:highlight w:val="none"/>
        </w:rPr>
        <w:t>大赛实行开放办赛，设听障组和健听组。在</w:t>
      </w:r>
      <w:r>
        <w:rPr>
          <w:rFonts w:hint="eastAsia" w:ascii="仿宋_GB2312" w:hAnsi="仿宋_GB2312" w:eastAsia="仿宋_GB2312" w:cs="仿宋_GB2312"/>
          <w:bCs/>
          <w:color w:val="auto"/>
          <w:sz w:val="32"/>
          <w:szCs w:val="32"/>
          <w:highlight w:val="none"/>
        </w:rPr>
        <w:t>本省行政区域内从事手语推广工作的残联系统工作者、特校教师、</w:t>
      </w:r>
      <w:r>
        <w:rPr>
          <w:rFonts w:hint="eastAsia" w:ascii="仿宋_GB2312" w:hAnsi="仿宋_GB2312" w:eastAsia="仿宋_GB2312" w:cs="仿宋_GB2312"/>
          <w:bCs/>
          <w:color w:val="auto"/>
          <w:sz w:val="32"/>
          <w:szCs w:val="32"/>
          <w:highlight w:val="none"/>
          <w:lang w:eastAsia="zh-CN"/>
        </w:rPr>
        <w:t>志愿者、</w:t>
      </w:r>
      <w:r>
        <w:rPr>
          <w:rFonts w:hint="eastAsia" w:ascii="仿宋_GB2312" w:hAnsi="仿宋_GB2312" w:eastAsia="仿宋_GB2312" w:cs="仿宋_GB2312"/>
          <w:bCs/>
          <w:color w:val="auto"/>
          <w:sz w:val="32"/>
          <w:szCs w:val="32"/>
          <w:highlight w:val="none"/>
        </w:rPr>
        <w:t>手语爱好者、手语翻译、窗口服务单位工作者均可报名参加</w:t>
      </w:r>
      <w:r>
        <w:rPr>
          <w:rFonts w:hint="eastAsia" w:ascii="仿宋_GB2312" w:hAnsi="仿宋_GB2312" w:eastAsia="仿宋_GB2312" w:cs="仿宋_GB2312"/>
          <w:color w:val="auto"/>
          <w:sz w:val="32"/>
          <w:szCs w:val="32"/>
          <w:highlight w:val="none"/>
        </w:rPr>
        <w:t>健听组的比赛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w:t>
      </w:r>
      <w:r>
        <w:rPr>
          <w:rFonts w:hint="eastAsia" w:ascii="仿宋_GB2312" w:hAnsi="仿宋_GB2312" w:eastAsia="仿宋_GB2312" w:cs="仿宋_GB2312"/>
          <w:bCs/>
          <w:color w:val="auto"/>
          <w:sz w:val="32"/>
          <w:szCs w:val="32"/>
          <w:highlight w:val="none"/>
        </w:rPr>
        <w:t>本省户籍及</w:t>
      </w:r>
      <w:r>
        <w:rPr>
          <w:rFonts w:hint="eastAsia" w:ascii="仿宋_GB2312" w:hAnsi="仿宋_GB2312" w:eastAsia="仿宋_GB2312" w:cs="仿宋_GB2312"/>
          <w:color w:val="auto"/>
          <w:sz w:val="32"/>
          <w:szCs w:val="32"/>
          <w:highlight w:val="none"/>
          <w:shd w:val="clear" w:color="auto" w:fill="FFFFFF"/>
        </w:rPr>
        <w:t>在省内学习或者工作</w:t>
      </w:r>
      <w:r>
        <w:rPr>
          <w:rFonts w:hint="eastAsia" w:ascii="仿宋_GB2312" w:hAnsi="仿宋_GB2312" w:eastAsia="仿宋_GB2312" w:cs="仿宋_GB2312"/>
          <w:bCs/>
          <w:color w:val="auto"/>
          <w:sz w:val="32"/>
          <w:szCs w:val="32"/>
          <w:highlight w:val="none"/>
        </w:rPr>
        <w:t>的持有《中华人民共和国残疾人证》的听力言语残疾人可以参加</w:t>
      </w:r>
      <w:r>
        <w:rPr>
          <w:rFonts w:hint="eastAsia" w:ascii="仿宋_GB2312" w:hAnsi="仿宋_GB2312" w:eastAsia="仿宋_GB2312" w:cs="仿宋_GB2312"/>
          <w:color w:val="auto"/>
          <w:sz w:val="32"/>
          <w:szCs w:val="32"/>
          <w:highlight w:val="none"/>
        </w:rPr>
        <w:t>听障组的比赛</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曾获广东省首届国家通用手语技能大赛特等奖以及一二三等奖的选手除外。</w:t>
      </w:r>
    </w:p>
    <w:p>
      <w:pPr>
        <w:spacing w:afterLines="0" w:line="600" w:lineRule="exact"/>
        <w:ind w:left="0" w:firstLine="640" w:firstLineChars="200"/>
        <w:rPr>
          <w:rFonts w:hint="eastAsia" w:ascii="黑体" w:hAnsi="黑体" w:eastAsia="黑体" w:cs="黑体"/>
          <w:b w:val="0"/>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sz w:val="32"/>
          <w:szCs w:val="32"/>
          <w:highlight w:val="none"/>
          <w14:textFill>
            <w14:solidFill>
              <w14:schemeClr w14:val="tx1"/>
            </w14:solidFill>
          </w14:textFill>
        </w:rPr>
        <w:t xml:space="preserve">六、大赛要求 </w:t>
      </w:r>
    </w:p>
    <w:p>
      <w:pPr>
        <w:pStyle w:val="2"/>
        <w:spacing w:after="0" w:afterLines="0" w:line="600" w:lineRule="exact"/>
        <w:ind w:firstLine="640"/>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（一）大赛形式</w:t>
      </w:r>
    </w:p>
    <w:p>
      <w:pPr>
        <w:spacing w:afterLines="0" w:line="600" w:lineRule="exact"/>
        <w:ind w:firstLine="640" w:firstLineChars="200"/>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大赛以提交视频的形式进行，分健听组和听障组两个组别。参赛人员需要提供两个原创视频，一个是手语自我介绍，一个是手语演译（故事、诗歌、歌曲等）。大赛分初赛和决赛两个阶段，初赛为海选，由各市残联和聋协组织开展。8月15号前完成初赛并上交参加决赛的作品。</w:t>
      </w:r>
    </w:p>
    <w:p>
      <w:pPr>
        <w:pStyle w:val="2"/>
        <w:spacing w:after="0" w:afterLines="0" w:line="600" w:lineRule="exact"/>
        <w:ind w:firstLine="640" w:firstLineChars="200"/>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（二）作品内容</w:t>
      </w:r>
    </w:p>
    <w:p>
      <w:pPr>
        <w:pStyle w:val="2"/>
        <w:spacing w:after="0" w:afterLines="0" w:line="600" w:lineRule="exact"/>
        <w:ind w:firstLine="640" w:firstLineChars="200"/>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1.以国家通用手语为标准，手语宣传推广为目标，促进听力残疾人平等参与社会，共建无障碍交流环境。</w:t>
      </w:r>
    </w:p>
    <w:p>
      <w:pPr>
        <w:pStyle w:val="2"/>
        <w:spacing w:after="0" w:afterLines="0" w:line="600" w:lineRule="exact"/>
        <w:ind w:firstLine="640" w:firstLineChars="200"/>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2.思想积极向上，传递社会正能量。</w:t>
      </w:r>
    </w:p>
    <w:p>
      <w:pPr>
        <w:pStyle w:val="2"/>
        <w:spacing w:after="0" w:afterLines="0" w:line="600" w:lineRule="exact"/>
        <w:ind w:firstLine="640" w:firstLineChars="200"/>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（三）作品规格</w:t>
      </w:r>
    </w:p>
    <w:p>
      <w:pPr>
        <w:pStyle w:val="3"/>
        <w:widowControl/>
        <w:shd w:val="clear" w:color="auto" w:fill="FFFFFF"/>
        <w:spacing w:beforeAutospacing="0" w:afterLines="0" w:afterAutospacing="0" w:line="600" w:lineRule="exact"/>
        <w:ind w:firstLine="640" w:firstLineChars="200"/>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手语自我介绍”视频：时长2--3分钟，文字稿约100-300字；“手语演译（故事、诗歌、歌曲等）”视频：时长3--5分钟，文字稿根据作品而定，不受字数限制。视频横屏拍摄，可以是mp4、mov、mpeg、rmvb等多种格式，要求影像清楚，画质清晰。</w:t>
      </w:r>
    </w:p>
    <w:p>
      <w:pPr>
        <w:pStyle w:val="3"/>
        <w:widowControl/>
        <w:shd w:val="clear" w:color="auto" w:fill="FFFFFF"/>
        <w:spacing w:beforeAutospacing="0" w:afterLines="0" w:afterAutospacing="0" w:line="600" w:lineRule="exact"/>
        <w:ind w:firstLine="640" w:firstLineChars="200"/>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（四）报名方式</w:t>
      </w:r>
    </w:p>
    <w:p>
      <w:pPr>
        <w:pStyle w:val="3"/>
        <w:widowControl/>
        <w:shd w:val="clear" w:color="auto" w:fill="FFFFFF"/>
        <w:spacing w:beforeAutospacing="0" w:afterLines="0" w:afterAutospacing="0" w:line="600" w:lineRule="exact"/>
        <w:ind w:left="0" w:leftChars="0" w:firstLine="640" w:firstLineChars="200"/>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参赛人员需于大赛组委会规定的时间内将报名表、两个作品的视频和与之对应的文字稿（word文档)等多个文件打包发送到</w:t>
      </w:r>
      <w:r>
        <w:rPr>
          <w:rFonts w:hint="eastAsia" w:ascii="仿宋_GB2312" w:hAnsi="仿宋_GB2312" w:eastAsia="仿宋_GB2312" w:cs="仿宋_GB2312"/>
          <w:bCs/>
          <w:color w:val="auto"/>
          <w:kern w:val="2"/>
          <w:sz w:val="32"/>
          <w:szCs w:val="32"/>
          <w:highlight w:val="none"/>
          <w:lang w:val="en-US" w:eastAsia="zh-CN" w:bidi="ar-SA"/>
        </w:rPr>
        <w:fldChar w:fldCharType="begin"/>
      </w:r>
      <w:r>
        <w:rPr>
          <w:rFonts w:hint="eastAsia" w:ascii="仿宋_GB2312" w:hAnsi="仿宋_GB2312" w:eastAsia="仿宋_GB2312" w:cs="仿宋_GB2312"/>
          <w:bCs/>
          <w:color w:val="auto"/>
          <w:kern w:val="2"/>
          <w:sz w:val="32"/>
          <w:szCs w:val="32"/>
          <w:highlight w:val="none"/>
          <w:lang w:val="en-US" w:eastAsia="zh-CN" w:bidi="ar-SA"/>
        </w:rPr>
        <w:instrText xml:space="preserve"> HYPERLINK "mailto:329813906@qq.com" </w:instrText>
      </w:r>
      <w:r>
        <w:rPr>
          <w:rFonts w:hint="eastAsia" w:ascii="仿宋_GB2312" w:hAnsi="仿宋_GB2312" w:eastAsia="仿宋_GB2312" w:cs="仿宋_GB2312"/>
          <w:bCs/>
          <w:color w:val="auto"/>
          <w:kern w:val="2"/>
          <w:sz w:val="32"/>
          <w:szCs w:val="32"/>
          <w:highlight w:val="none"/>
          <w:lang w:val="en-US" w:eastAsia="zh-CN" w:bidi="ar-SA"/>
        </w:rPr>
        <w:fldChar w:fldCharType="separate"/>
      </w:r>
      <w:r>
        <w:rPr>
          <w:rFonts w:hint="eastAsia" w:ascii="仿宋_GB2312" w:hAnsi="仿宋_GB2312" w:eastAsia="仿宋_GB2312" w:cs="仿宋_GB2312"/>
          <w:bCs/>
          <w:color w:val="auto"/>
          <w:kern w:val="2"/>
          <w:sz w:val="32"/>
          <w:szCs w:val="32"/>
          <w:highlight w:val="none"/>
          <w:lang w:val="en-US" w:eastAsia="zh-CN" w:bidi="ar-SA"/>
        </w:rPr>
        <w:t>329813906@qq.com</w:t>
      </w:r>
      <w:r>
        <w:rPr>
          <w:rFonts w:hint="eastAsia" w:ascii="仿宋_GB2312" w:hAnsi="仿宋_GB2312" w:eastAsia="仿宋_GB2312" w:cs="仿宋_GB2312"/>
          <w:bCs/>
          <w:color w:val="auto"/>
          <w:kern w:val="2"/>
          <w:sz w:val="32"/>
          <w:szCs w:val="32"/>
          <w:highlight w:val="none"/>
          <w:lang w:val="en-US" w:eastAsia="zh-CN" w:bidi="ar-SA"/>
        </w:rPr>
        <w:fldChar w:fldCharType="end"/>
      </w:r>
      <w:r>
        <w:rPr>
          <w:rFonts w:hint="eastAsia" w:ascii="仿宋_GB2312" w:hAnsi="仿宋_GB2312" w:eastAsia="仿宋_GB2312" w:cs="仿宋_GB2312"/>
          <w:bCs/>
          <w:color w:val="auto"/>
          <w:kern w:val="2"/>
          <w:sz w:val="32"/>
          <w:szCs w:val="32"/>
          <w:highlight w:val="none"/>
          <w:lang w:val="en-US" w:eastAsia="zh-CN" w:bidi="ar-SA"/>
        </w:rPr>
        <w:t>邮箱，邮件主题统一格式命名为：组别+作品名+作者地区+作者姓名。</w:t>
      </w:r>
    </w:p>
    <w:p>
      <w:pPr>
        <w:pStyle w:val="3"/>
        <w:widowControl/>
        <w:shd w:val="clear" w:color="auto" w:fill="FFFFFF"/>
        <w:spacing w:beforeAutospacing="0" w:afterLines="0" w:afterAutospacing="0" w:line="600" w:lineRule="exact"/>
        <w:ind w:left="0" w:leftChars="0" w:firstLine="643" w:firstLineChars="200"/>
        <w:rPr>
          <w:rFonts w:hint="eastAsia" w:ascii="黑体" w:hAnsi="黑体" w:eastAsia="黑体" w:cs="黑体"/>
          <w:color w:val="333333"/>
          <w:sz w:val="32"/>
          <w:szCs w:val="32"/>
          <w:highlight w:val="none"/>
        </w:rPr>
      </w:pPr>
      <w:r>
        <w:rPr>
          <w:rFonts w:hint="eastAsia" w:ascii="黑体" w:hAnsi="黑体" w:eastAsia="黑体" w:cs="黑体"/>
          <w:b/>
          <w:bCs/>
          <w:color w:val="333333"/>
          <w:sz w:val="32"/>
          <w:szCs w:val="32"/>
          <w:highlight w:val="none"/>
          <w:shd w:val="clear" w:color="auto" w:fill="FFFFFF"/>
        </w:rPr>
        <w:t>七、大赛安排</w:t>
      </w:r>
    </w:p>
    <w:p>
      <w:pPr>
        <w:pStyle w:val="3"/>
        <w:widowControl/>
        <w:shd w:val="clear" w:color="auto" w:fill="FFFFFF"/>
        <w:spacing w:beforeAutospacing="0" w:afterLines="0" w:afterAutospacing="0" w:line="600" w:lineRule="exact"/>
        <w:ind w:left="0" w:leftChars="0" w:firstLine="640" w:firstLineChars="200"/>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华文仿宋" w:hAnsi="华文仿宋" w:eastAsia="华文仿宋" w:cs="华文仿宋"/>
          <w:color w:val="333333"/>
          <w:sz w:val="32"/>
          <w:szCs w:val="32"/>
          <w:highlight w:val="none"/>
          <w:shd w:val="clear" w:color="auto" w:fill="FFFFFF"/>
        </w:rPr>
        <w:t>（</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一）宣传动员（2022年5月至6月）。通过下发大赛通知、大赛官方网站、微信公众号、视频号、粤群通等媒体平台广泛宣传，动员各种力量广泛宣传，积极参与。</w:t>
      </w:r>
    </w:p>
    <w:p>
      <w:pPr>
        <w:pStyle w:val="3"/>
        <w:widowControl/>
        <w:shd w:val="clear" w:color="auto" w:fill="FFFFFF"/>
        <w:spacing w:beforeAutospacing="0" w:afterLines="0" w:afterAutospacing="0" w:line="600" w:lineRule="exact"/>
        <w:ind w:left="0" w:leftChars="0" w:firstLine="640" w:firstLineChars="200"/>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（二）培训学习（2022年6月至7月）。</w:t>
      </w:r>
    </w:p>
    <w:p>
      <w:pPr>
        <w:pStyle w:val="3"/>
        <w:widowControl/>
        <w:shd w:val="clear" w:color="auto" w:fill="FFFFFF"/>
        <w:spacing w:beforeAutospacing="0" w:afterLines="0" w:afterAutospacing="0" w:line="600" w:lineRule="exact"/>
        <w:ind w:left="0" w:leftChars="0" w:firstLine="640" w:firstLineChars="200"/>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1.线上+线下培训宣讲。适时组织学校、残联、服务机构、社区的手语宣传、推广、培训活动。</w:t>
      </w:r>
    </w:p>
    <w:p>
      <w:pPr>
        <w:pStyle w:val="3"/>
        <w:widowControl/>
        <w:shd w:val="clear" w:color="auto" w:fill="FFFFFF"/>
        <w:spacing w:beforeAutospacing="0" w:afterLines="0" w:afterAutospacing="0" w:line="600" w:lineRule="exact"/>
        <w:ind w:left="0" w:leftChars="0" w:firstLine="640" w:firstLineChars="200"/>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2.多媒体公众号学习。“广东省聋人协会”→“无障碍”→“手语视频/手语教学”→线上学习。</w:t>
      </w:r>
    </w:p>
    <w:p>
      <w:pPr>
        <w:pStyle w:val="3"/>
        <w:widowControl/>
        <w:shd w:val="clear" w:color="auto" w:fill="FFFFFF"/>
        <w:spacing w:beforeAutospacing="0" w:afterLines="0" w:afterAutospacing="0" w:line="600" w:lineRule="exact"/>
        <w:ind w:left="0" w:leftChars="0" w:firstLine="640" w:firstLineChars="200"/>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3.线上手语测试。报名参赛的选手统一组织入群，组织参加2次线上国家通用手语培训测试。</w:t>
      </w:r>
    </w:p>
    <w:p>
      <w:pPr>
        <w:pStyle w:val="3"/>
        <w:widowControl/>
        <w:shd w:val="clear" w:color="auto" w:fill="FFFFFF"/>
        <w:spacing w:beforeAutospacing="0" w:afterLines="0" w:afterAutospacing="0" w:line="600" w:lineRule="exact"/>
        <w:ind w:left="0" w:leftChars="0" w:firstLine="640" w:firstLineChars="200"/>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4.视频录制指导。组委会录制参赛示范模板给选手参考，适时安排专业教师（包括聋人）提供答疑服务。</w:t>
      </w:r>
    </w:p>
    <w:p>
      <w:pPr>
        <w:pStyle w:val="3"/>
        <w:widowControl/>
        <w:shd w:val="clear" w:color="auto" w:fill="FFFFFF"/>
        <w:spacing w:beforeAutospacing="0" w:afterLines="0" w:afterAutospacing="0" w:line="600" w:lineRule="exact"/>
        <w:ind w:left="0" w:leftChars="0" w:firstLine="640" w:firstLineChars="200"/>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三）作品征集（2022年7月至8月）。为了更好地宣传、推广手语，让更多人了解和学习手语，参赛人员可以把录制好的手语视频放在朋友圈、视频号、抖音等多媒体平台，收集点赞，点赞数量可以累计，作为进入总决赛的评分参考。在8月15号前，提交报名表电子版（见附件1）、身份证（残疾证）扫描件 、两个手语视频和与之对应的文字稿（word文档)、点赞凭证截图等多个文件到指定邮箱</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fldChar w:fldCharType="begin"/>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instrText xml:space="preserve"> HYPERLINK "mailto:329813906@qq.com" </w:instrTex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fldChar w:fldCharType="separate"/>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329813906@qq.com</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fldChar w:fldCharType="end"/>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w:t>
      </w:r>
    </w:p>
    <w:p>
      <w:pPr>
        <w:pStyle w:val="3"/>
        <w:widowControl/>
        <w:shd w:val="clear" w:color="auto" w:fill="FFFFFF"/>
        <w:spacing w:beforeAutospacing="0" w:afterLines="0" w:afterAutospacing="0" w:line="600" w:lineRule="exact"/>
        <w:ind w:left="0" w:leftChars="0" w:firstLine="640" w:firstLineChars="200"/>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（四）作品评审（2022年8月至9月）。组委会将组织评审小组进行评审，大赛评审分为初评和终评两个阶段。</w:t>
      </w:r>
    </w:p>
    <w:p>
      <w:pPr>
        <w:pStyle w:val="3"/>
        <w:widowControl/>
        <w:shd w:val="clear" w:color="auto" w:fill="FFFFFF"/>
        <w:spacing w:beforeAutospacing="0" w:afterLines="0" w:afterAutospacing="0" w:line="600" w:lineRule="exact"/>
        <w:ind w:left="0" w:leftChars="0" w:firstLine="640" w:firstLineChars="200"/>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初评：采取“线上评审”的方式进行。专家评审组对健听组和听障组选送的作品进行线上评审，按照评分标准和宣传点赞情况进行评分，从高分到低分排序，每个组别各评选出16个作品晋级决赛。</w:t>
      </w:r>
    </w:p>
    <w:p>
      <w:pPr>
        <w:spacing w:afterLines="0" w:line="600" w:lineRule="exact"/>
        <w:ind w:firstLine="640" w:firstLineChars="2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终评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决赛采取“现场评审+网络投票”的方式进行。现场评审：晋级决赛的选手根据自己的实际情况，重新录制两个手语视频和调整相对应的文稿，填写参赛表，一并发送至大赛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执委</w:t>
      </w:r>
      <w:r>
        <w:rPr>
          <w:rFonts w:hint="eastAsia" w:ascii="仿宋_GB2312" w:hAnsi="仿宋_GB2312" w:eastAsia="仿宋_GB2312" w:cs="仿宋_GB2312"/>
          <w:color w:val="000000" w:themeColor="text1"/>
          <w:sz w:val="32"/>
          <w:szCs w:val="32"/>
          <w:highlight w:val="none"/>
          <w14:textFill>
            <w14:solidFill>
              <w14:schemeClr w14:val="tx1"/>
            </w14:solidFill>
          </w14:textFill>
        </w:rPr>
        <w:t>会指定邮箱：</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HYPERLINK "mailto:329813906@qq.com" </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14:textFill>
            <w14:solidFill>
              <w14:schemeClr w14:val="tx1"/>
            </w14:solidFill>
          </w14:textFill>
        </w:rPr>
        <w:t>329813906@qq.com</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，截止时间为2022年9月11日。组委会组织相关专业人员和聋人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手语专家</w:t>
      </w:r>
      <w:r>
        <w:rPr>
          <w:rFonts w:hint="eastAsia" w:ascii="仿宋_GB2312" w:hAnsi="仿宋_GB2312" w:eastAsia="仿宋_GB2312" w:cs="仿宋_GB2312"/>
          <w:color w:val="000000" w:themeColor="text1"/>
          <w:sz w:val="32"/>
          <w:szCs w:val="32"/>
          <w:highlight w:val="none"/>
          <w14:textFill>
            <w14:solidFill>
              <w14:schemeClr w14:val="tx1"/>
            </w14:solidFill>
          </w14:textFill>
        </w:rPr>
        <w:t>对作品进行评审得出成绩，占总得分90%；网络投票：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执委</w:t>
      </w:r>
      <w:r>
        <w:rPr>
          <w:rFonts w:hint="eastAsia" w:ascii="仿宋_GB2312" w:hAnsi="仿宋_GB2312" w:eastAsia="仿宋_GB2312" w:cs="仿宋_GB2312"/>
          <w:color w:val="000000" w:themeColor="text1"/>
          <w:sz w:val="32"/>
          <w:szCs w:val="32"/>
          <w:highlight w:val="none"/>
          <w14:textFill>
            <w14:solidFill>
              <w14:schemeClr w14:val="tx1"/>
            </w14:solidFill>
          </w14:textFill>
        </w:rPr>
        <w:t>会指定官方平台对晋级决赛的作品进行网络公开投票，票数所对应的分值占总得分10%。</w:t>
      </w:r>
    </w:p>
    <w:p>
      <w:pPr>
        <w:spacing w:afterLines="0" w:line="600" w:lineRule="exact"/>
        <w:ind w:firstLine="640" w:firstLineChars="2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采取</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现场评审+网络投票总分排序，最终评选出大赛决赛获奖名单。</w:t>
      </w:r>
    </w:p>
    <w:p>
      <w:pPr>
        <w:spacing w:afterLines="0" w:line="600" w:lineRule="exact"/>
        <w:ind w:firstLine="640" w:firstLineChars="200"/>
        <w:jc w:val="left"/>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（五）颁奖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典礼</w:t>
      </w:r>
      <w:r>
        <w:rPr>
          <w:rFonts w:hint="eastAsia" w:ascii="仿宋_GB2312" w:hAnsi="仿宋_GB2312" w:eastAsia="仿宋_GB2312" w:cs="仿宋_GB2312"/>
          <w:color w:val="000000" w:themeColor="text1"/>
          <w:sz w:val="32"/>
          <w:szCs w:val="32"/>
          <w:highlight w:val="none"/>
          <w14:textFill>
            <w14:solidFill>
              <w14:schemeClr w14:val="tx1"/>
            </w14:solidFill>
          </w14:textFill>
        </w:rPr>
        <w:t>（2022年9月）。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9月25日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国际聋人节</w:t>
      </w:r>
      <w:r>
        <w:rPr>
          <w:rFonts w:hint="eastAsia" w:ascii="仿宋_GB2312" w:hAnsi="仿宋_GB2312" w:eastAsia="仿宋_GB2312" w:cs="仿宋_GB2312"/>
          <w:color w:val="000000" w:themeColor="text1"/>
          <w:sz w:val="32"/>
          <w:szCs w:val="32"/>
          <w:highlight w:val="none"/>
          <w14:textFill>
            <w14:solidFill>
              <w14:schemeClr w14:val="tx1"/>
            </w14:solidFill>
          </w14:textFill>
        </w:rPr>
        <w:t>举办大赛颁奖典礼</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eastAsia="zh-CN"/>
        </w:rPr>
        <w:t>八</w:t>
      </w:r>
      <w:r>
        <w:rPr>
          <w:rFonts w:hint="eastAsia" w:ascii="黑体" w:hAnsi="黑体" w:eastAsia="黑体" w:cs="黑体"/>
          <w:sz w:val="32"/>
          <w:szCs w:val="32"/>
          <w:highlight w:val="none"/>
        </w:rPr>
        <w:t>、作品著作权归属</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（一）所有寄送至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执</w:t>
      </w:r>
      <w:r>
        <w:rPr>
          <w:rFonts w:hint="eastAsia" w:ascii="仿宋_GB2312" w:hAnsi="仿宋_GB2312" w:eastAsia="仿宋_GB2312" w:cs="仿宋_GB2312"/>
          <w:color w:val="000000" w:themeColor="text1"/>
          <w:sz w:val="32"/>
          <w:szCs w:val="32"/>
          <w:highlight w:val="none"/>
          <w14:textFill>
            <w14:solidFill>
              <w14:schemeClr w14:val="tx1"/>
            </w14:solidFill>
          </w14:textFill>
        </w:rPr>
        <w:t>委会指定邮箱的参赛作品及相关资料，恕不退还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（二）选手须保证其作品完全为本人创作，一经发现抄袭等行为，一律取消参赛资格</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（三）获奖作品的版权归</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执</w:t>
      </w:r>
      <w:r>
        <w:rPr>
          <w:rFonts w:hint="eastAsia" w:ascii="仿宋_GB2312" w:hAnsi="仿宋_GB2312" w:eastAsia="仿宋_GB2312" w:cs="仿宋_GB2312"/>
          <w:color w:val="000000" w:themeColor="text1"/>
          <w:sz w:val="32"/>
          <w:szCs w:val="32"/>
          <w:highlight w:val="none"/>
          <w14:textFill>
            <w14:solidFill>
              <w14:schemeClr w14:val="tx1"/>
            </w14:solidFill>
          </w14:textFill>
        </w:rPr>
        <w:t>委会所有，进行非盈利使用。</w:t>
      </w:r>
    </w:p>
    <w:p>
      <w:pPr>
        <w:spacing w:afterLines="0" w:line="600" w:lineRule="exact"/>
        <w:ind w:firstLine="640" w:firstLineChars="200"/>
        <w:jc w:val="left"/>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九、联系方式：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赛事</w:t>
      </w:r>
      <w:r>
        <w:rPr>
          <w:rFonts w:hint="eastAsia" w:ascii="仿宋_GB2312" w:hAnsi="仿宋_GB2312" w:eastAsia="仿宋_GB2312" w:cs="仿宋_GB2312"/>
          <w:color w:val="000000" w:themeColor="text1"/>
          <w:sz w:val="32"/>
          <w:szCs w:val="32"/>
          <w:highlight w:val="none"/>
          <w14:textFill>
            <w14:solidFill>
              <w14:schemeClr w14:val="tx1"/>
            </w14:solidFill>
          </w14:textFill>
        </w:rPr>
        <w:t>联系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人</w:t>
      </w:r>
      <w:r>
        <w:rPr>
          <w:rFonts w:hint="eastAsia" w:ascii="仿宋_GB2312" w:hAnsi="仿宋_GB2312" w:eastAsia="仿宋_GB2312" w:cs="仿宋_GB2312"/>
          <w:color w:val="000000" w:themeColor="text1"/>
          <w:sz w:val="32"/>
          <w:szCs w:val="32"/>
          <w:highlight w:val="none"/>
          <w14:textFill>
            <w14:solidFill>
              <w14:schemeClr w14:val="tx1"/>
            </w14:solidFill>
          </w14:textFill>
        </w:rPr>
        <w:t>省聋协张红玲13922336896</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spacing w:afterLines="0" w:line="600" w:lineRule="exact"/>
        <w:ind w:firstLine="0" w:firstLineChars="0"/>
        <w:jc w:val="left"/>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p>
    <w:p>
      <w:pPr>
        <w:spacing w:afterLines="0" w:line="600" w:lineRule="exact"/>
        <w:ind w:firstLine="640" w:firstLineChars="200"/>
        <w:jc w:val="left"/>
        <w:rPr>
          <w:rFonts w:hint="eastAsia" w:ascii="方正黑体_GBK" w:hAnsi="方正黑体_GBK" w:eastAsia="方正黑体_GBK" w:cs="方正黑体_GBK"/>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附件：</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广东省</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2022年</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国家通用手语技能大赛</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（第二届）</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参赛表</w:t>
      </w:r>
      <w:r>
        <w:rPr>
          <w:rFonts w:hint="eastAsia" w:ascii="方正黑体_GBK" w:hAnsi="方正黑体_GBK" w:eastAsia="方正黑体_GBK" w:cs="方正黑体_GBK"/>
          <w:b w:val="0"/>
          <w:bCs w:val="0"/>
          <w:color w:val="000000" w:themeColor="text1"/>
          <w:sz w:val="32"/>
          <w:szCs w:val="32"/>
          <w:highlight w:val="none"/>
          <w:lang w:eastAsia="zh-CN"/>
          <w14:textFill>
            <w14:solidFill>
              <w14:schemeClr w14:val="tx1"/>
            </w14:solidFill>
          </w14:textFill>
        </w:rPr>
        <w:br w:type="page"/>
      </w:r>
    </w:p>
    <w:p>
      <w:pPr>
        <w:spacing w:afterLines="0"/>
        <w:jc w:val="both"/>
        <w:rPr>
          <w:rFonts w:hint="eastAsia" w:ascii="方正黑体_GBK" w:hAnsi="方正黑体_GBK" w:eastAsia="方正黑体_GBK" w:cs="方正黑体_GBK"/>
          <w:b w:val="0"/>
          <w:bCs w:val="0"/>
          <w:color w:val="000000" w:themeColor="text1"/>
          <w:sz w:val="32"/>
          <w:szCs w:val="32"/>
          <w:highlight w:val="none"/>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highlight w:val="none"/>
          <w:lang w:eastAsia="zh-CN"/>
          <w14:textFill>
            <w14:solidFill>
              <w14:schemeClr w14:val="tx1"/>
            </w14:solidFill>
          </w14:textFill>
        </w:rPr>
        <w:t>附件</w:t>
      </w:r>
    </w:p>
    <w:p>
      <w:pPr>
        <w:spacing w:afterLines="0"/>
        <w:jc w:val="both"/>
        <w:rPr>
          <w:rFonts w:hint="eastAsia" w:ascii="方正黑体_GBK" w:hAnsi="方正黑体_GBK" w:eastAsia="方正黑体_GBK" w:cs="方正黑体_GBK"/>
          <w:b w:val="0"/>
          <w:bCs w:val="0"/>
          <w:color w:val="000000" w:themeColor="text1"/>
          <w:sz w:val="32"/>
          <w:szCs w:val="32"/>
          <w:highlight w:val="none"/>
          <w:lang w:eastAsia="zh-CN"/>
          <w14:textFill>
            <w14:solidFill>
              <w14:schemeClr w14:val="tx1"/>
            </w14:solidFill>
          </w14:textFill>
        </w:rPr>
      </w:pPr>
    </w:p>
    <w:p>
      <w:pPr>
        <w:spacing w:afterLines="0"/>
        <w:jc w:val="cente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highlight w:val="none"/>
          <w14:textFill>
            <w14:solidFill>
              <w14:schemeClr w14:val="tx1"/>
            </w14:solidFill>
          </w14:textFill>
        </w:rPr>
        <w:t>广东省</w:t>
      </w:r>
      <w:r>
        <w:rPr>
          <w:rFonts w:hint="eastAsia" w:ascii="方正小标宋简体" w:hAnsi="方正小标宋简体" w:eastAsia="方正小标宋简体" w:cs="方正小标宋简体"/>
          <w:b w:val="0"/>
          <w:bCs w:val="0"/>
          <w:color w:val="000000" w:themeColor="text1"/>
          <w:sz w:val="36"/>
          <w:szCs w:val="36"/>
          <w:highlight w:val="none"/>
          <w:lang w:val="en-US" w:eastAsia="zh-CN"/>
          <w14:textFill>
            <w14:solidFill>
              <w14:schemeClr w14:val="tx1"/>
            </w14:solidFill>
          </w14:textFill>
        </w:rPr>
        <w:t>2022年</w:t>
      </w:r>
      <w:r>
        <w:rPr>
          <w:rFonts w:hint="eastAsia" w:ascii="方正小标宋简体" w:hAnsi="方正小标宋简体" w:eastAsia="方正小标宋简体" w:cs="方正小标宋简体"/>
          <w:b w:val="0"/>
          <w:bCs w:val="0"/>
          <w:color w:val="000000" w:themeColor="text1"/>
          <w:sz w:val="36"/>
          <w:szCs w:val="36"/>
          <w:highlight w:val="none"/>
          <w14:textFill>
            <w14:solidFill>
              <w14:schemeClr w14:val="tx1"/>
            </w14:solidFill>
          </w14:textFill>
        </w:rPr>
        <w:t>国家通用手语技能大赛</w:t>
      </w:r>
      <w:r>
        <w:rPr>
          <w:rFonts w:hint="eastAsia" w:ascii="方正小标宋简体" w:hAnsi="方正小标宋简体" w:eastAsia="方正小标宋简体" w:cs="方正小标宋简体"/>
          <w:b w:val="0"/>
          <w:bCs w:val="0"/>
          <w:color w:val="000000" w:themeColor="text1"/>
          <w:sz w:val="36"/>
          <w:szCs w:val="36"/>
          <w:highlight w:val="none"/>
          <w:lang w:eastAsia="zh-CN"/>
          <w14:textFill>
            <w14:solidFill>
              <w14:schemeClr w14:val="tx1"/>
            </w14:solidFill>
          </w14:textFill>
        </w:rPr>
        <w:t>（第二届）</w:t>
      </w:r>
      <w:r>
        <w:rPr>
          <w:rFonts w:hint="eastAsia" w:ascii="方正小标宋简体" w:hAnsi="方正小标宋简体" w:eastAsia="方正小标宋简体" w:cs="方正小标宋简体"/>
          <w:b w:val="0"/>
          <w:bCs w:val="0"/>
          <w:color w:val="000000" w:themeColor="text1"/>
          <w:sz w:val="36"/>
          <w:szCs w:val="36"/>
          <w:highlight w:val="none"/>
          <w14:textFill>
            <w14:solidFill>
              <w14:schemeClr w14:val="tx1"/>
            </w14:solidFill>
          </w14:textFill>
        </w:rPr>
        <w:t>参赛表</w:t>
      </w:r>
    </w:p>
    <w:p>
      <w:pPr>
        <w:pStyle w:val="2"/>
        <w:spacing w:after="0" w:afterLines="0"/>
        <w:rPr>
          <w:color w:val="000000" w:themeColor="text1"/>
          <w:highlight w:val="none"/>
          <w14:textFill>
            <w14:solidFill>
              <w14:schemeClr w14:val="tx1"/>
            </w14:solidFill>
          </w14:textFill>
        </w:rPr>
      </w:pPr>
    </w:p>
    <w:tbl>
      <w:tblPr>
        <w:tblStyle w:val="4"/>
        <w:tblW w:w="8237" w:type="dxa"/>
        <w:jc w:val="center"/>
        <w:tblLayout w:type="fixed"/>
        <w:tblCellMar>
          <w:top w:w="0" w:type="dxa"/>
          <w:left w:w="108" w:type="dxa"/>
          <w:bottom w:w="0" w:type="dxa"/>
          <w:right w:w="108" w:type="dxa"/>
        </w:tblCellMar>
      </w:tblPr>
      <w:tblGrid>
        <w:gridCol w:w="1440"/>
        <w:gridCol w:w="2287"/>
        <w:gridCol w:w="2007"/>
        <w:gridCol w:w="2503"/>
      </w:tblGrid>
      <w:tr>
        <w:tblPrEx>
          <w:tblCellMar>
            <w:top w:w="0" w:type="dxa"/>
            <w:left w:w="108" w:type="dxa"/>
            <w:bottom w:w="0" w:type="dxa"/>
            <w:right w:w="108" w:type="dxa"/>
          </w:tblCellMar>
        </w:tblPrEx>
        <w:trPr>
          <w:trHeight w:val="731" w:hRule="atLeast"/>
          <w:jc w:val="center"/>
        </w:trPr>
        <w:tc>
          <w:tcPr>
            <w:tcW w:w="1440"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gradFill>
                    <w14:gsLst>
                      <w14:gs w14:pos="0">
                        <w14:srgbClr w14:val="007BD3"/>
                      </w14:gs>
                      <w14:gs w14:pos="100000">
                        <w14:srgbClr w14:val="034373"/>
                      </w14:gs>
                    </w14:gsLst>
                    <w14:lin w14:ang="0" w14:scaled="0"/>
                  </w14:gradFill>
                </w14:textFill>
              </w:rPr>
              <w:t>市</w:t>
            </w:r>
            <w:r>
              <w:rPr>
                <w:rFonts w:hint="default" w:ascii="宋体" w:hAnsi="宋体" w:eastAsia="宋体" w:cs="宋体"/>
                <w:color w:val="000000" w:themeColor="text1"/>
                <w:sz w:val="24"/>
                <w:szCs w:val="24"/>
                <w:highlight w:val="none"/>
                <w14:textFill>
                  <w14:gradFill>
                    <w14:gsLst>
                      <w14:gs w14:pos="0">
                        <w14:srgbClr w14:val="007BD3"/>
                      </w14:gs>
                      <w14:gs w14:pos="100000">
                        <w14:srgbClr w14:val="034373"/>
                      </w14:gs>
                    </w14:gsLst>
                    <w14:lin w14:ang="0" w14:scaled="0"/>
                  </w14:gradFill>
                </w14:textFill>
              </w:rPr>
              <w:t>别</w:t>
            </w:r>
          </w:p>
        </w:tc>
        <w:tc>
          <w:tcPr>
            <w:tcW w:w="2287" w:type="dxa"/>
            <w:tcBorders>
              <w:top w:val="single" w:color="000000" w:sz="6" w:space="0"/>
              <w:left w:val="single" w:color="auto" w:sz="4" w:space="0"/>
              <w:bottom w:val="single" w:color="000000" w:sz="6" w:space="0"/>
              <w:right w:val="single" w:color="000000" w:sz="6"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p>
        </w:tc>
        <w:tc>
          <w:tcPr>
            <w:tcW w:w="451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听障组：（   ）</w:t>
            </w:r>
          </w:p>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健听组：（   ）</w:t>
            </w:r>
          </w:p>
        </w:tc>
      </w:tr>
      <w:tr>
        <w:tblPrEx>
          <w:tblCellMar>
            <w:top w:w="0" w:type="dxa"/>
            <w:left w:w="108" w:type="dxa"/>
            <w:bottom w:w="0" w:type="dxa"/>
            <w:right w:w="108" w:type="dxa"/>
          </w:tblCellMar>
        </w:tblPrEx>
        <w:trPr>
          <w:trHeight w:val="718" w:hRule="atLeast"/>
          <w:jc w:val="center"/>
        </w:trPr>
        <w:tc>
          <w:tcPr>
            <w:tcW w:w="1440"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姓名</w:t>
            </w:r>
          </w:p>
        </w:tc>
        <w:tc>
          <w:tcPr>
            <w:tcW w:w="2287" w:type="dxa"/>
            <w:tcBorders>
              <w:top w:val="single" w:color="000000" w:sz="6" w:space="0"/>
              <w:left w:val="single" w:color="auto" w:sz="4" w:space="0"/>
              <w:bottom w:val="single" w:color="000000" w:sz="6" w:space="0"/>
              <w:right w:val="single" w:color="auto" w:sz="4"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p>
        </w:tc>
        <w:tc>
          <w:tcPr>
            <w:tcW w:w="2007" w:type="dxa"/>
            <w:tcBorders>
              <w:top w:val="single" w:color="000000" w:sz="6" w:space="0"/>
              <w:left w:val="single" w:color="auto" w:sz="4" w:space="0"/>
              <w:bottom w:val="single" w:color="000000" w:sz="6" w:space="0"/>
              <w:right w:val="single" w:color="auto" w:sz="4"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微信号码</w:t>
            </w:r>
          </w:p>
        </w:tc>
        <w:tc>
          <w:tcPr>
            <w:tcW w:w="2503" w:type="dxa"/>
            <w:tcBorders>
              <w:top w:val="single" w:color="000000" w:sz="6" w:space="0"/>
              <w:left w:val="single" w:color="auto" w:sz="4" w:space="0"/>
              <w:bottom w:val="single" w:color="000000" w:sz="6" w:space="0"/>
              <w:right w:val="single" w:color="000000" w:sz="6" w:space="0"/>
            </w:tcBorders>
            <w:vAlign w:val="center"/>
          </w:tcPr>
          <w:p>
            <w:pPr>
              <w:widowControl/>
              <w:spacing w:afterLines="0"/>
              <w:rPr>
                <w:rFonts w:ascii="宋体" w:hAnsi="宋体" w:eastAsia="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716" w:hRule="atLeast"/>
          <w:jc w:val="center"/>
        </w:trPr>
        <w:tc>
          <w:tcPr>
            <w:tcW w:w="1440"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工作单位和职务</w:t>
            </w:r>
          </w:p>
        </w:tc>
        <w:tc>
          <w:tcPr>
            <w:tcW w:w="2287" w:type="dxa"/>
            <w:tcBorders>
              <w:top w:val="single" w:color="000000" w:sz="6" w:space="0"/>
              <w:left w:val="single" w:color="auto" w:sz="4" w:space="0"/>
              <w:bottom w:val="single" w:color="000000" w:sz="6" w:space="0"/>
              <w:right w:val="single" w:color="auto" w:sz="4" w:space="0"/>
            </w:tcBorders>
            <w:vAlign w:val="center"/>
          </w:tcPr>
          <w:p>
            <w:pPr>
              <w:widowControl/>
              <w:spacing w:afterLines="0"/>
              <w:rPr>
                <w:rFonts w:ascii="宋体" w:hAnsi="宋体" w:eastAsia="宋体" w:cs="宋体"/>
                <w:color w:val="000000" w:themeColor="text1"/>
                <w:sz w:val="24"/>
                <w:szCs w:val="24"/>
                <w:highlight w:val="none"/>
                <w14:textFill>
                  <w14:solidFill>
                    <w14:schemeClr w14:val="tx1"/>
                  </w14:solidFill>
                </w14:textFill>
              </w:rPr>
            </w:pPr>
          </w:p>
        </w:tc>
        <w:tc>
          <w:tcPr>
            <w:tcW w:w="2007" w:type="dxa"/>
            <w:tcBorders>
              <w:top w:val="single" w:color="000000" w:sz="6" w:space="0"/>
              <w:left w:val="single" w:color="auto" w:sz="4" w:space="0"/>
              <w:bottom w:val="single" w:color="000000" w:sz="6" w:space="0"/>
              <w:right w:val="single" w:color="auto" w:sz="4" w:space="0"/>
            </w:tcBorders>
            <w:vAlign w:val="center"/>
          </w:tcPr>
          <w:p>
            <w:pPr>
              <w:widowControl/>
              <w:spacing w:afterLines="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手机号码</w:t>
            </w:r>
          </w:p>
        </w:tc>
        <w:tc>
          <w:tcPr>
            <w:tcW w:w="2503" w:type="dxa"/>
            <w:tcBorders>
              <w:top w:val="single" w:color="000000" w:sz="6" w:space="0"/>
              <w:left w:val="single" w:color="auto" w:sz="4" w:space="0"/>
              <w:bottom w:val="single" w:color="000000" w:sz="6" w:space="0"/>
              <w:right w:val="single" w:color="000000" w:sz="6" w:space="0"/>
            </w:tcBorders>
            <w:vAlign w:val="center"/>
          </w:tcPr>
          <w:p>
            <w:pPr>
              <w:widowControl/>
              <w:spacing w:afterLines="0"/>
              <w:rPr>
                <w:rFonts w:ascii="宋体" w:hAnsi="宋体" w:eastAsia="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4" w:hRule="atLeast"/>
          <w:jc w:val="center"/>
        </w:trPr>
        <w:tc>
          <w:tcPr>
            <w:tcW w:w="1440"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作品名称</w:t>
            </w:r>
          </w:p>
        </w:tc>
        <w:tc>
          <w:tcPr>
            <w:tcW w:w="2287" w:type="dxa"/>
            <w:tcBorders>
              <w:top w:val="single" w:color="000000" w:sz="6" w:space="0"/>
              <w:left w:val="single" w:color="auto" w:sz="4" w:space="0"/>
              <w:bottom w:val="single" w:color="000000" w:sz="6" w:space="0"/>
              <w:right w:val="single" w:color="auto" w:sz="4"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p>
        </w:tc>
        <w:tc>
          <w:tcPr>
            <w:tcW w:w="2007" w:type="dxa"/>
            <w:tcBorders>
              <w:top w:val="single" w:color="000000" w:sz="6" w:space="0"/>
              <w:left w:val="single" w:color="auto" w:sz="4" w:space="0"/>
              <w:bottom w:val="single" w:color="000000" w:sz="6" w:space="0"/>
              <w:right w:val="single" w:color="auto" w:sz="4"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p>
        </w:tc>
        <w:tc>
          <w:tcPr>
            <w:tcW w:w="2503" w:type="dxa"/>
            <w:tcBorders>
              <w:top w:val="single" w:color="000000" w:sz="6" w:space="0"/>
              <w:left w:val="single" w:color="auto" w:sz="4" w:space="0"/>
              <w:bottom w:val="single" w:color="000000" w:sz="6" w:space="0"/>
              <w:right w:val="single" w:color="000000" w:sz="6"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674" w:hRule="atLeast"/>
          <w:jc w:val="center"/>
        </w:trPr>
        <w:tc>
          <w:tcPr>
            <w:tcW w:w="1440" w:type="dxa"/>
            <w:tcBorders>
              <w:top w:val="single" w:color="000000" w:sz="6" w:space="0"/>
              <w:left w:val="single" w:color="000000" w:sz="6" w:space="0"/>
              <w:bottom w:val="single" w:color="000000" w:sz="6" w:space="0"/>
              <w:right w:val="single" w:color="auto" w:sz="4"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指导老师</w:t>
            </w:r>
          </w:p>
          <w:p>
            <w:pPr>
              <w:autoSpaceDE w:val="0"/>
              <w:autoSpaceDN w:val="0"/>
              <w:spacing w:afterLines="0"/>
              <w:ind w:right="0"/>
              <w:rPr>
                <w:rFonts w:ascii="宋体" w:hAnsi="宋体" w:eastAsia="宋体" w:cs="宋体"/>
                <w:color w:val="FF0000"/>
                <w:sz w:val="24"/>
                <w:szCs w:val="24"/>
                <w:highlight w:val="none"/>
              </w:rPr>
            </w:pPr>
            <w:r>
              <w:rPr>
                <w:rFonts w:hint="eastAsia" w:ascii="宋体" w:hAnsi="宋体" w:eastAsia="宋体" w:cs="宋体"/>
                <w:color w:val="FF0000"/>
                <w:sz w:val="22"/>
                <w:szCs w:val="22"/>
                <w:highlight w:val="none"/>
              </w:rPr>
              <w:t>（最多</w:t>
            </w:r>
            <w:r>
              <w:rPr>
                <w:rFonts w:ascii="宋体" w:hAnsi="宋体" w:eastAsia="宋体" w:cs="宋体"/>
                <w:color w:val="FF0000"/>
                <w:sz w:val="22"/>
                <w:szCs w:val="22"/>
                <w:highlight w:val="none"/>
              </w:rPr>
              <w:t>两名</w:t>
            </w:r>
            <w:r>
              <w:rPr>
                <w:rFonts w:hint="eastAsia" w:ascii="宋体" w:hAnsi="宋体" w:eastAsia="宋体" w:cs="宋体"/>
                <w:color w:val="FF0000"/>
                <w:sz w:val="22"/>
                <w:szCs w:val="22"/>
                <w:highlight w:val="none"/>
              </w:rPr>
              <w:t>）</w:t>
            </w:r>
          </w:p>
        </w:tc>
        <w:tc>
          <w:tcPr>
            <w:tcW w:w="2287" w:type="dxa"/>
            <w:tcBorders>
              <w:top w:val="single" w:color="000000" w:sz="6" w:space="0"/>
              <w:left w:val="single" w:color="auto" w:sz="4" w:space="0"/>
              <w:bottom w:val="single" w:color="000000" w:sz="6" w:space="0"/>
              <w:right w:val="single" w:color="auto" w:sz="4"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p>
        </w:tc>
        <w:tc>
          <w:tcPr>
            <w:tcW w:w="2007" w:type="dxa"/>
            <w:tcBorders>
              <w:top w:val="single" w:color="000000" w:sz="6" w:space="0"/>
              <w:left w:val="single" w:color="auto" w:sz="4" w:space="0"/>
              <w:bottom w:val="single" w:color="000000" w:sz="6" w:space="0"/>
              <w:right w:val="single" w:color="auto" w:sz="4"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微信号码</w:t>
            </w:r>
          </w:p>
        </w:tc>
        <w:tc>
          <w:tcPr>
            <w:tcW w:w="2503" w:type="dxa"/>
            <w:tcBorders>
              <w:top w:val="single" w:color="000000" w:sz="6" w:space="0"/>
              <w:left w:val="single" w:color="auto" w:sz="4" w:space="0"/>
              <w:bottom w:val="single" w:color="000000" w:sz="6" w:space="0"/>
              <w:right w:val="single" w:color="000000" w:sz="6"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714" w:hRule="atLeast"/>
          <w:jc w:val="center"/>
        </w:trPr>
        <w:tc>
          <w:tcPr>
            <w:tcW w:w="8237"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spacing w:afterLines="0"/>
              <w:ind w:right="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联系地址</w:t>
            </w:r>
          </w:p>
        </w:tc>
      </w:tr>
    </w:tbl>
    <w:p>
      <w:pPr>
        <w:pStyle w:val="2"/>
        <w:spacing w:after="0" w:afterLines="0"/>
        <w:rPr>
          <w:rFonts w:hint="eastAsia" w:ascii="仿宋" w:hAnsi="仿宋" w:eastAsia="仿宋" w:cs="仿宋"/>
          <w:sz w:val="32"/>
          <w:szCs w:val="32"/>
          <w:highlight w:val="none"/>
          <w:lang w:val="en-US" w:eastAsia="zh-CN"/>
        </w:rPr>
      </w:pPr>
    </w:p>
    <w:p>
      <w:pPr>
        <w:pStyle w:val="2"/>
        <w:spacing w:after="0" w:afterLines="0"/>
        <w:rPr>
          <w:rFonts w:hint="eastAsia" w:ascii="仿宋" w:hAnsi="仿宋" w:eastAsia="仿宋" w:cs="仿宋"/>
          <w:sz w:val="32"/>
          <w:szCs w:val="32"/>
          <w:highlight w:val="none"/>
          <w:lang w:val="en-US" w:eastAsia="zh-CN"/>
        </w:rPr>
      </w:pPr>
    </w:p>
    <w:p>
      <w:pPr>
        <w:pStyle w:val="2"/>
        <w:spacing w:after="0" w:afterLines="0"/>
        <w:rPr>
          <w:rFonts w:hint="eastAsia" w:ascii="仿宋" w:hAnsi="仿宋" w:eastAsia="仿宋" w:cs="仿宋"/>
          <w:sz w:val="32"/>
          <w:szCs w:val="32"/>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69FA5085"/>
    <w:rsid w:val="69FA5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Autospacing="1" w:afterAutospacing="1"/>
      <w:jc w:val="left"/>
    </w:pPr>
    <w:rPr>
      <w:rFonts w:cs="Times New Roman"/>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省残疾人联合会</Company>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2022-05-18T02:58:00Z</dcterms:created>
  <dc:creator>winky</dc:creator>
  <cp:lastModifiedBy>winky</cp:lastModifiedBy>
  <dcterms:modified xsi:type="dcterms:W3CDTF">2022-05-18T03:04:06Z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BC23237F68E842259F4F26E56D6B9600</vt:lpwstr>
  </property>
</Properties>
</file>